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CA0F" w14:textId="1C281A61" w:rsidR="002237FD" w:rsidRDefault="007A46CD">
      <w:r w:rsidRPr="007A46CD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DE5EB9E" wp14:editId="4988BEF9">
            <wp:simplePos x="0" y="0"/>
            <wp:positionH relativeFrom="column">
              <wp:posOffset>5416550</wp:posOffset>
            </wp:positionH>
            <wp:positionV relativeFrom="page">
              <wp:posOffset>203200</wp:posOffset>
            </wp:positionV>
            <wp:extent cx="1026160" cy="806450"/>
            <wp:effectExtent l="0" t="0" r="2540" b="0"/>
            <wp:wrapTight wrapText="bothSides">
              <wp:wrapPolygon edited="0">
                <wp:start x="0" y="0"/>
                <wp:lineTo x="0" y="20920"/>
                <wp:lineTo x="21252" y="20920"/>
                <wp:lineTo x="21252" y="0"/>
                <wp:lineTo x="0" y="0"/>
              </wp:wrapPolygon>
            </wp:wrapTight>
            <wp:docPr id="4" name="Picture 4" descr="NHS Frim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Frimle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EE3">
        <w:t>Dear parent / carer,</w:t>
      </w:r>
    </w:p>
    <w:p w14:paraId="5ED6EE35" w14:textId="77777777" w:rsidR="00BA48F7" w:rsidRDefault="00BA48F7"/>
    <w:p w14:paraId="32A4712D" w14:textId="6F38627D" w:rsidR="00145515" w:rsidRDefault="00BA48F7" w:rsidP="00BA48F7">
      <w:pPr>
        <w:jc w:val="center"/>
        <w:rPr>
          <w:b/>
        </w:rPr>
      </w:pPr>
      <w:r>
        <w:rPr>
          <w:b/>
        </w:rPr>
        <w:t>Does your child or young person have a learning disability?</w:t>
      </w:r>
    </w:p>
    <w:p w14:paraId="378C39B4" w14:textId="77777777" w:rsidR="00AE7EE3" w:rsidRDefault="00AE7EE3" w:rsidP="00BA48F7">
      <w:pPr>
        <w:jc w:val="both"/>
      </w:pPr>
    </w:p>
    <w:p w14:paraId="198E780C" w14:textId="13FFFF63" w:rsidR="00AE7EE3" w:rsidRPr="008152D2" w:rsidRDefault="00145515" w:rsidP="00BA48F7">
      <w:pPr>
        <w:jc w:val="both"/>
      </w:pPr>
      <w:r w:rsidRPr="008152D2">
        <w:t xml:space="preserve">Frimley Integrated Care </w:t>
      </w:r>
      <w:r w:rsidR="008152D2" w:rsidRPr="008152D2">
        <w:t>Board</w:t>
      </w:r>
      <w:r w:rsidRPr="008152D2">
        <w:t xml:space="preserve"> are contacting students from year 9 at </w:t>
      </w:r>
      <w:r w:rsidR="008152D2" w:rsidRPr="008152D2">
        <w:t>local special schools</w:t>
      </w:r>
      <w:r w:rsidRPr="008152D2">
        <w:t xml:space="preserve"> at their EHCP annual review</w:t>
      </w:r>
      <w:r w:rsidR="008152D2" w:rsidRPr="008152D2">
        <w:t>, as well as sharing this at other relevant opportunities, as it is important to make you aware of an NHS service that your child might be entitled to</w:t>
      </w:r>
      <w:r w:rsidR="00A03B52" w:rsidRPr="008152D2">
        <w:t>.</w:t>
      </w:r>
      <w:r w:rsidRPr="008152D2">
        <w:t xml:space="preserve"> </w:t>
      </w:r>
      <w:r w:rsidR="008152D2" w:rsidRPr="008152D2">
        <w:t>As your child attends</w:t>
      </w:r>
      <w:r w:rsidR="00871200" w:rsidRPr="008152D2">
        <w:t xml:space="preserve"> </w:t>
      </w:r>
      <w:r w:rsidR="00D62E1E">
        <w:t xml:space="preserve">a local specialist educational provision, specifically Kennel Lane School, Arbour Vale School, Manor Green School or </w:t>
      </w:r>
      <w:proofErr w:type="spellStart"/>
      <w:r w:rsidR="00D62E1E">
        <w:t>Portesbery</w:t>
      </w:r>
      <w:proofErr w:type="spellEnd"/>
      <w:r w:rsidR="00D62E1E">
        <w:t xml:space="preserve"> School</w:t>
      </w:r>
      <w:r w:rsidR="00A03B52" w:rsidRPr="008152D2">
        <w:t>, it is likely that you</w:t>
      </w:r>
      <w:r w:rsidR="008152D2" w:rsidRPr="008152D2">
        <w:t>r</w:t>
      </w:r>
      <w:r w:rsidR="00A03B52" w:rsidRPr="008152D2">
        <w:t xml:space="preserve"> child</w:t>
      </w:r>
      <w:r w:rsidRPr="008152D2">
        <w:t xml:space="preserve"> meet</w:t>
      </w:r>
      <w:r w:rsidR="00A03B52" w:rsidRPr="008152D2">
        <w:t>s</w:t>
      </w:r>
      <w:r w:rsidRPr="008152D2">
        <w:t xml:space="preserve"> the criteria to be considered as having</w:t>
      </w:r>
      <w:r w:rsidR="00AE7EE3" w:rsidRPr="008152D2">
        <w:t xml:space="preserve"> a </w:t>
      </w:r>
      <w:r w:rsidR="00AE7EE3" w:rsidRPr="008152D2">
        <w:rPr>
          <w:b/>
        </w:rPr>
        <w:t>learning disability</w:t>
      </w:r>
      <w:r w:rsidR="00AE7EE3" w:rsidRPr="008152D2">
        <w:t>.</w:t>
      </w:r>
    </w:p>
    <w:p w14:paraId="09A02D0B" w14:textId="6EF2BFB3" w:rsidR="00AE7EE3" w:rsidRDefault="00AE7EE3" w:rsidP="00BA48F7">
      <w:pPr>
        <w:jc w:val="both"/>
      </w:pPr>
    </w:p>
    <w:p w14:paraId="60ECB9D0" w14:textId="0539FDC2" w:rsidR="00AE7EE3" w:rsidRPr="00AE7EE3" w:rsidRDefault="00AE7EE3" w:rsidP="00BA48F7">
      <w:pPr>
        <w:jc w:val="both"/>
        <w:rPr>
          <w:u w:val="single"/>
        </w:rPr>
      </w:pPr>
      <w:r w:rsidRPr="00AE7EE3">
        <w:rPr>
          <w:u w:val="single"/>
        </w:rPr>
        <w:t xml:space="preserve">A learning disability is: </w:t>
      </w:r>
    </w:p>
    <w:p w14:paraId="74A150F4" w14:textId="338F5D70" w:rsidR="00AE7EE3" w:rsidRPr="00AE7EE3" w:rsidRDefault="00AE7EE3" w:rsidP="00BA48F7">
      <w:pPr>
        <w:ind w:left="720"/>
        <w:jc w:val="both"/>
        <w:rPr>
          <w:i/>
        </w:rPr>
      </w:pPr>
      <w:r w:rsidRPr="00AE7EE3">
        <w:rPr>
          <w:i/>
        </w:rPr>
        <w:t>‘A significantly reduced ability to understand new or complex information, to learn new skills (Significantly impaired intelligence)</w:t>
      </w:r>
    </w:p>
    <w:p w14:paraId="6BAB8C29" w14:textId="2FFFCEC9" w:rsidR="00AE7EE3" w:rsidRPr="00AE7EE3" w:rsidRDefault="00AE7EE3" w:rsidP="00BA48F7">
      <w:pPr>
        <w:ind w:firstLine="720"/>
        <w:jc w:val="both"/>
        <w:rPr>
          <w:i/>
        </w:rPr>
      </w:pPr>
      <w:r w:rsidRPr="00AE7EE3">
        <w:rPr>
          <w:b/>
          <w:i/>
        </w:rPr>
        <w:t>AND</w:t>
      </w:r>
      <w:r w:rsidRPr="00AE7EE3">
        <w:rPr>
          <w:i/>
        </w:rPr>
        <w:t xml:space="preserve"> A reduced ability to cope independently, (Impaired social / adaptive functioning)</w:t>
      </w:r>
    </w:p>
    <w:p w14:paraId="2F2CF3E9" w14:textId="2BCBA9FB" w:rsidR="00AE7EE3" w:rsidRDefault="00AE7EE3" w:rsidP="00BA48F7">
      <w:pPr>
        <w:ind w:left="720"/>
        <w:jc w:val="both"/>
        <w:rPr>
          <w:i/>
        </w:rPr>
      </w:pPr>
      <w:r w:rsidRPr="00AE7EE3">
        <w:rPr>
          <w:b/>
          <w:i/>
        </w:rPr>
        <w:t>AND</w:t>
      </w:r>
      <w:r w:rsidRPr="00AE7EE3">
        <w:rPr>
          <w:i/>
        </w:rPr>
        <w:t xml:space="preserve"> Which started before adulthood (onset before aged 18) with a lasting effect on development’ (NHS Leeds and York Partnership).</w:t>
      </w:r>
    </w:p>
    <w:p w14:paraId="6A960496" w14:textId="115A38FB" w:rsidR="00AE7EE3" w:rsidRDefault="00AE7EE3" w:rsidP="00BA48F7">
      <w:pPr>
        <w:jc w:val="both"/>
      </w:pPr>
    </w:p>
    <w:p w14:paraId="183AF19F" w14:textId="22FC4E7A" w:rsidR="00AE7EE3" w:rsidRDefault="00E27F20" w:rsidP="00BA48F7">
      <w:pPr>
        <w:jc w:val="both"/>
      </w:pPr>
      <w:r>
        <w:t>Evidence shows that h</w:t>
      </w:r>
      <w:r w:rsidR="00AE7EE3">
        <w:t>aving a learning disability might make it harder for your child to access mainstream health services and get the healthcare they need</w:t>
      </w:r>
      <w:r w:rsidR="00600028">
        <w:t>, particularly as they transition to adult services</w:t>
      </w:r>
      <w:r w:rsidR="00AE7EE3">
        <w:t>.</w:t>
      </w:r>
    </w:p>
    <w:p w14:paraId="28540F4B" w14:textId="720C0D63" w:rsidR="00AE7EE3" w:rsidRDefault="00AE7EE3" w:rsidP="00BA48F7">
      <w:pPr>
        <w:jc w:val="both"/>
      </w:pPr>
    </w:p>
    <w:p w14:paraId="3BDB825E" w14:textId="503B2214" w:rsidR="00AE7EE3" w:rsidRDefault="00AE7EE3" w:rsidP="00BA48F7">
      <w:pPr>
        <w:jc w:val="both"/>
      </w:pPr>
      <w:r>
        <w:t>All people with a learning disability (ev</w:t>
      </w:r>
      <w:r w:rsidR="00F77E4F">
        <w:t xml:space="preserve">en if it is mild) can be added to </w:t>
      </w:r>
      <w:r>
        <w:t xml:space="preserve">their GP practice </w:t>
      </w:r>
      <w:r w:rsidRPr="00AE7EE3">
        <w:rPr>
          <w:b/>
        </w:rPr>
        <w:t>Learning Disability Register</w:t>
      </w:r>
      <w:r w:rsidR="00600028">
        <w:t>. Everyone over the age of 14 on the Learning Disability Register is entitled to a free annual health check at their GP surgery. This health check will help to monitor your young person’s health and could help signpost to other specialist services.</w:t>
      </w:r>
    </w:p>
    <w:p w14:paraId="6F252CFB" w14:textId="406BBC50" w:rsidR="00600028" w:rsidRDefault="00600028" w:rsidP="00BA48F7">
      <w:pPr>
        <w:jc w:val="both"/>
      </w:pPr>
    </w:p>
    <w:p w14:paraId="003B9B6A" w14:textId="07974B9D" w:rsidR="00600028" w:rsidRDefault="00895655" w:rsidP="00BA48F7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C1E1D0C" wp14:editId="5E9EF93C">
            <wp:simplePos x="0" y="0"/>
            <wp:positionH relativeFrom="margin">
              <wp:align>left</wp:align>
            </wp:positionH>
            <wp:positionV relativeFrom="paragraph">
              <wp:posOffset>298767</wp:posOffset>
            </wp:positionV>
            <wp:extent cx="1461170" cy="19472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0748" y1="18253" x2="40748" y2="18253"/>
                                  <a14:foregroundMark x1="51767" y1="18097" x2="51767" y2="18097"/>
                                  <a14:foregroundMark x1="46570" y1="18721" x2="46570" y2="18721"/>
                                  <a14:foregroundMark x1="45322" y1="19813" x2="45322" y2="19813"/>
                                  <a14:foregroundMark x1="44906" y1="22153" x2="44906" y2="22153"/>
                                  <a14:foregroundMark x1="44283" y1="25741" x2="44283" y2="25741"/>
                                  <a14:foregroundMark x1="58628" y1="21997" x2="58628" y2="21997"/>
                                  <a14:foregroundMark x1="51559" y1="22309" x2="51559" y2="22309"/>
                                  <a14:foregroundMark x1="47401" y1="47894" x2="47401" y2="47894"/>
                                  <a14:foregroundMark x1="54470" y1="51794" x2="54470" y2="51794"/>
                                  <a14:foregroundMark x1="51559" y1="50078" x2="51559" y2="50078"/>
                                  <a14:foregroundMark x1="56133" y1="52886" x2="56133" y2="52886"/>
                                  <a14:foregroundMark x1="53222" y1="54602" x2="53222" y2="54602"/>
                                  <a14:foregroundMark x1="49064" y1="48674" x2="49064" y2="48674"/>
                                  <a14:foregroundMark x1="42620" y1="37598" x2="42620" y2="37598"/>
                                  <a14:foregroundMark x1="50312" y1="34321" x2="50312" y2="34321"/>
                                  <a14:foregroundMark x1="46570" y1="25741" x2="46570" y2="25741"/>
                                  <a14:foregroundMark x1="44075" y1="27301" x2="44075" y2="27301"/>
                                  <a14:foregroundMark x1="43243" y1="29173" x2="43243" y2="29173"/>
                                  <a14:foregroundMark x1="44491" y1="31357" x2="44491" y2="31357"/>
                                  <a14:foregroundMark x1="50312" y1="14197" x2="50312" y2="14197"/>
                                  <a14:foregroundMark x1="45530" y1="49766" x2="45530" y2="49766"/>
                                  <a14:foregroundMark x1="45114" y1="29173" x2="45114" y2="29173"/>
                                  <a14:foregroundMark x1="56549" y1="18565" x2="56549" y2="18565"/>
                                  <a14:foregroundMark x1="50728" y1="54758" x2="50728" y2="54758"/>
                                  <a14:foregroundMark x1="48857" y1="54758" x2="48857" y2="54758"/>
                                  <a14:foregroundMark x1="45946" y1="54134" x2="45946" y2="54134"/>
                                  <a14:foregroundMark x1="48233" y1="57254" x2="48233" y2="57254"/>
                                  <a14:foregroundMark x1="31185" y1="79719" x2="31185" y2="79719"/>
                                  <a14:foregroundMark x1="29522" y1="78471" x2="29522" y2="78471"/>
                                  <a14:foregroundMark x1="43243" y1="33541" x2="43243" y2="33541"/>
                                  <a14:foregroundMark x1="43659" y1="34789" x2="43659" y2="34789"/>
                                  <a14:foregroundMark x1="42827" y1="35413" x2="42827" y2="35413"/>
                                  <a14:foregroundMark x1="58836" y1="18721" x2="58836" y2="18721"/>
                                  <a14:foregroundMark x1="47401" y1="18409" x2="47401" y2="18409"/>
                                  <a14:foregroundMark x1="52391" y1="14509" x2="52391" y2="14509"/>
                                  <a14:foregroundMark x1="44283" y1="20125" x2="44283" y2="20125"/>
                                  <a14:foregroundMark x1="48441" y1="18253" x2="48441" y2="18253"/>
                                  <a14:foregroundMark x1="45738" y1="23089" x2="45738" y2="23089"/>
                                  <a14:foregroundMark x1="51136" y1="18337" x2="47159" y2="18337"/>
                                  <a14:foregroundMark x1="57955" y1="15991" x2="57955" y2="15991"/>
                                  <a14:foregroundMark x1="40909" y1="15565" x2="40909" y2="15565"/>
                                  <a14:foregroundMark x1="63352" y1="48401" x2="63352" y2="48401"/>
                                  <a14:foregroundMark x1="53977" y1="49041" x2="53977" y2="49041"/>
                                  <a14:foregroundMark x1="43466" y1="47335" x2="43466" y2="47335"/>
                                  <a14:foregroundMark x1="42330" y1="49467" x2="42330" y2="49467"/>
                                  <a14:foregroundMark x1="45455" y1="61407" x2="45455" y2="61407"/>
                                  <a14:foregroundMark x1="45455" y1="64392" x2="45455" y2="64392"/>
                                  <a14:foregroundMark x1="48580" y1="62687" x2="48580" y2="62687"/>
                                  <a14:foregroundMark x1="62216" y1="20682" x2="62216" y2="20682"/>
                                  <a14:foregroundMark x1="48295" y1="24733" x2="48295" y2="24733"/>
                                  <a14:foregroundMark x1="48295" y1="21962" x2="48295" y2="21962"/>
                                  <a14:foregroundMark x1="43750" y1="32836" x2="43750" y2="32836"/>
                                  <a14:foregroundMark x1="43182" y1="26439" x2="43182" y2="26439"/>
                                  <a14:foregroundMark x1="47159" y1="59275" x2="47159" y2="59275"/>
                                  <a14:foregroundMark x1="45739" y1="60341" x2="45739" y2="60341"/>
                                  <a14:foregroundMark x1="51705" y1="50533" x2="51705" y2="50533"/>
                                  <a14:foregroundMark x1="48011" y1="49893" x2="48011" y2="49893"/>
                                  <a14:backgroundMark x1="82102" y1="34755" x2="60795" y2="40299"/>
                                  <a14:backgroundMark x1="43466" y1="16205" x2="49432" y2="15352"/>
                                  <a14:backgroundMark x1="44602" y1="48401" x2="44602" y2="484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1170" cy="1947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028">
        <w:t>Please fill in the attached form and send to your child’s GP surgery addressed to ‘the Practice Manager’</w:t>
      </w:r>
      <w:r w:rsidR="004B518F">
        <w:t xml:space="preserve"> in an envelope </w:t>
      </w:r>
      <w:r w:rsidR="00600028">
        <w:t>marked private and confidential.</w:t>
      </w:r>
    </w:p>
    <w:p w14:paraId="09C5D94C" w14:textId="33D7EE6E" w:rsidR="00600028" w:rsidRDefault="00600028" w:rsidP="00BA48F7">
      <w:pPr>
        <w:jc w:val="both"/>
      </w:pPr>
    </w:p>
    <w:p w14:paraId="062DFD66" w14:textId="2E3CCCDF" w:rsidR="00600028" w:rsidRDefault="00600028" w:rsidP="00BA48F7">
      <w:pPr>
        <w:jc w:val="both"/>
      </w:pPr>
      <w:r>
        <w:t>Yours faithfully,</w:t>
      </w:r>
    </w:p>
    <w:p w14:paraId="2D4A4014" w14:textId="5FD225F9" w:rsidR="00600028" w:rsidRDefault="00600028" w:rsidP="00BA48F7">
      <w:pPr>
        <w:jc w:val="both"/>
      </w:pPr>
    </w:p>
    <w:p w14:paraId="31640BA3" w14:textId="77777777" w:rsidR="00895655" w:rsidRDefault="00895655" w:rsidP="00BA48F7">
      <w:pPr>
        <w:jc w:val="both"/>
      </w:pPr>
    </w:p>
    <w:p w14:paraId="1F160925" w14:textId="1CA9991F" w:rsidR="00BA48F7" w:rsidRPr="00BA48F7" w:rsidRDefault="00BA48F7" w:rsidP="00BA48F7">
      <w:pPr>
        <w:jc w:val="both"/>
      </w:pPr>
      <w:r w:rsidRPr="00BA48F7">
        <w:t>Dr Oliver Sweeney</w:t>
      </w:r>
    </w:p>
    <w:p w14:paraId="4A5A41DE" w14:textId="301B680F" w:rsidR="00BA48F7" w:rsidRPr="00BA48F7" w:rsidRDefault="00AF6531" w:rsidP="00BA48F7">
      <w:pPr>
        <w:jc w:val="both"/>
        <w:rPr>
          <w:i/>
        </w:rPr>
      </w:pPr>
      <w:r>
        <w:rPr>
          <w:i/>
        </w:rPr>
        <w:t>Clinical Lead</w:t>
      </w:r>
      <w:r w:rsidR="008152D2">
        <w:rPr>
          <w:i/>
        </w:rPr>
        <w:t xml:space="preserve"> for Learning Disability</w:t>
      </w:r>
      <w:r>
        <w:rPr>
          <w:i/>
        </w:rPr>
        <w:t xml:space="preserve"> - </w:t>
      </w:r>
      <w:r w:rsidR="00BA48F7" w:rsidRPr="00BA48F7">
        <w:rPr>
          <w:i/>
        </w:rPr>
        <w:t>Frimley Integrated Care Board</w:t>
      </w:r>
    </w:p>
    <w:p w14:paraId="678435C9" w14:textId="2B6640C8" w:rsidR="007E10E7" w:rsidRDefault="007E10E7"/>
    <w:p w14:paraId="4504AD8B" w14:textId="77777777" w:rsidR="007E10E7" w:rsidRDefault="007E10E7" w:rsidP="007E10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Learning Disability Register Request Form</w:t>
      </w:r>
    </w:p>
    <w:p w14:paraId="5F8281B7" w14:textId="77777777" w:rsidR="007E10E7" w:rsidRPr="00B25BB0" w:rsidRDefault="007E10E7" w:rsidP="007E10E7">
      <w:pPr>
        <w:jc w:val="center"/>
        <w:rPr>
          <w:b/>
          <w:color w:val="FF0000"/>
        </w:rPr>
      </w:pPr>
      <w:r w:rsidRPr="00B25BB0">
        <w:rPr>
          <w:b/>
          <w:color w:val="FF0000"/>
        </w:rPr>
        <w:t>Private and confidential</w:t>
      </w:r>
    </w:p>
    <w:p w14:paraId="2CB7299D" w14:textId="77777777" w:rsidR="007E10E7" w:rsidRDefault="007E10E7" w:rsidP="007E10E7">
      <w:pPr>
        <w:jc w:val="center"/>
        <w:rPr>
          <w:b/>
          <w:color w:val="FF0000"/>
          <w:sz w:val="24"/>
          <w:szCs w:val="24"/>
        </w:rPr>
      </w:pPr>
    </w:p>
    <w:p w14:paraId="09C4479A" w14:textId="77777777" w:rsidR="007E10E7" w:rsidRPr="00B25BB0" w:rsidRDefault="00AB1D40" w:rsidP="007E10E7">
      <w:pPr>
        <w:rPr>
          <w:sz w:val="20"/>
          <w:szCs w:val="20"/>
        </w:rPr>
      </w:pPr>
      <w:r w:rsidRPr="00B25BB0">
        <w:rPr>
          <w:sz w:val="20"/>
          <w:szCs w:val="20"/>
        </w:rPr>
        <w:t>Dear Practice Manager,</w:t>
      </w:r>
    </w:p>
    <w:p w14:paraId="49FB9112" w14:textId="77777777" w:rsidR="00AB1D40" w:rsidRPr="00B25BB0" w:rsidRDefault="00AB1D40" w:rsidP="007E10E7">
      <w:pPr>
        <w:rPr>
          <w:color w:val="FF0000"/>
          <w:sz w:val="20"/>
          <w:szCs w:val="20"/>
        </w:rPr>
      </w:pPr>
    </w:p>
    <w:p w14:paraId="52F94D3C" w14:textId="6CDB4FC7" w:rsidR="007E10E7" w:rsidRPr="00B25BB0" w:rsidRDefault="00E6479D" w:rsidP="007E10E7">
      <w:pPr>
        <w:rPr>
          <w:sz w:val="20"/>
          <w:szCs w:val="20"/>
        </w:rPr>
      </w:pPr>
      <w:r>
        <w:rPr>
          <w:b/>
          <w:sz w:val="20"/>
          <w:szCs w:val="20"/>
        </w:rPr>
        <w:t>Full n</w:t>
      </w:r>
      <w:r w:rsidR="007E10E7" w:rsidRPr="00B25BB0">
        <w:rPr>
          <w:b/>
          <w:sz w:val="20"/>
          <w:szCs w:val="20"/>
        </w:rPr>
        <w:t xml:space="preserve">ame of child / young person: </w:t>
      </w:r>
      <w:r w:rsidR="007E10E7" w:rsidRPr="00B25BB0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</w:t>
      </w:r>
      <w:r w:rsidR="007E10E7" w:rsidRPr="00B25BB0">
        <w:rPr>
          <w:sz w:val="20"/>
          <w:szCs w:val="20"/>
        </w:rPr>
        <w:t>__</w:t>
      </w:r>
    </w:p>
    <w:p w14:paraId="4114CDA4" w14:textId="77777777" w:rsidR="007E10E7" w:rsidRPr="00B25BB0" w:rsidRDefault="007E10E7" w:rsidP="007E10E7">
      <w:pPr>
        <w:rPr>
          <w:sz w:val="20"/>
          <w:szCs w:val="20"/>
        </w:rPr>
      </w:pPr>
    </w:p>
    <w:p w14:paraId="5621D40F" w14:textId="77777777" w:rsidR="007E10E7" w:rsidRPr="00B25BB0" w:rsidRDefault="007E10E7" w:rsidP="007E10E7">
      <w:pPr>
        <w:rPr>
          <w:sz w:val="20"/>
          <w:szCs w:val="20"/>
        </w:rPr>
      </w:pPr>
      <w:r w:rsidRPr="00B25BB0">
        <w:rPr>
          <w:b/>
          <w:sz w:val="20"/>
          <w:szCs w:val="20"/>
        </w:rPr>
        <w:t>Date of birth:</w:t>
      </w:r>
      <w:r w:rsidRPr="00B25BB0">
        <w:rPr>
          <w:sz w:val="20"/>
          <w:szCs w:val="20"/>
        </w:rPr>
        <w:t xml:space="preserve"> _______________________________________________________________</w:t>
      </w:r>
    </w:p>
    <w:p w14:paraId="6AD1283A" w14:textId="77777777" w:rsidR="007E10E7" w:rsidRPr="00B25BB0" w:rsidRDefault="007E10E7" w:rsidP="007E10E7">
      <w:pPr>
        <w:rPr>
          <w:sz w:val="20"/>
          <w:szCs w:val="20"/>
        </w:rPr>
      </w:pPr>
    </w:p>
    <w:p w14:paraId="75011EAC" w14:textId="089EE15E" w:rsidR="007E10E7" w:rsidRPr="00E6479D" w:rsidRDefault="007E10E7" w:rsidP="007E10E7">
      <w:pPr>
        <w:rPr>
          <w:sz w:val="20"/>
          <w:szCs w:val="20"/>
        </w:rPr>
      </w:pPr>
      <w:r w:rsidRPr="00B25BB0">
        <w:rPr>
          <w:b/>
          <w:sz w:val="20"/>
          <w:szCs w:val="20"/>
        </w:rPr>
        <w:t xml:space="preserve">School attending: </w:t>
      </w:r>
    </w:p>
    <w:p w14:paraId="47029203" w14:textId="77777777" w:rsidR="00AB1D40" w:rsidRPr="00B25BB0" w:rsidRDefault="00AB1D40" w:rsidP="007E10E7">
      <w:pPr>
        <w:rPr>
          <w:sz w:val="20"/>
          <w:szCs w:val="20"/>
        </w:rPr>
      </w:pPr>
    </w:p>
    <w:p w14:paraId="48A85BB9" w14:textId="77777777" w:rsidR="007E10E7" w:rsidRPr="00B25BB0" w:rsidRDefault="00AB1D40" w:rsidP="007E10E7">
      <w:pPr>
        <w:rPr>
          <w:sz w:val="20"/>
          <w:szCs w:val="20"/>
        </w:rPr>
      </w:pPr>
      <w:r w:rsidRPr="00B25BB0">
        <w:rPr>
          <w:sz w:val="20"/>
          <w:szCs w:val="20"/>
        </w:rPr>
        <w:t>This young person has a learning disability and should be added to the learning disability register.</w:t>
      </w:r>
    </w:p>
    <w:p w14:paraId="7DD3B1DA" w14:textId="77777777" w:rsidR="00AB1D40" w:rsidRPr="00B25BB0" w:rsidRDefault="00AB1D40" w:rsidP="007E10E7">
      <w:pPr>
        <w:rPr>
          <w:sz w:val="20"/>
          <w:szCs w:val="20"/>
        </w:rPr>
      </w:pPr>
    </w:p>
    <w:p w14:paraId="3D5AFCBE" w14:textId="3A6902B5" w:rsidR="00AB1D40" w:rsidRPr="00511760" w:rsidRDefault="00511760" w:rsidP="007E10E7">
      <w:pPr>
        <w:rPr>
          <w:b/>
          <w:sz w:val="20"/>
          <w:szCs w:val="20"/>
        </w:rPr>
      </w:pPr>
      <w:r w:rsidRPr="00511760">
        <w:rPr>
          <w:b/>
          <w:sz w:val="20"/>
          <w:szCs w:val="20"/>
        </w:rPr>
        <w:t>If you have an</w:t>
      </w:r>
      <w:r w:rsidR="00521412">
        <w:rPr>
          <w:b/>
          <w:sz w:val="20"/>
          <w:szCs w:val="20"/>
        </w:rPr>
        <w:t>y</w:t>
      </w:r>
      <w:r w:rsidRPr="00511760">
        <w:rPr>
          <w:b/>
          <w:sz w:val="20"/>
          <w:szCs w:val="20"/>
        </w:rPr>
        <w:t xml:space="preserve"> information regarding your child that we may find useful please share below:</w:t>
      </w:r>
    </w:p>
    <w:p w14:paraId="1205EAE7" w14:textId="77777777" w:rsidR="00511760" w:rsidRPr="00B25BB0" w:rsidRDefault="00511760" w:rsidP="007E10E7">
      <w:pPr>
        <w:rPr>
          <w:sz w:val="20"/>
          <w:szCs w:val="20"/>
        </w:rPr>
      </w:pPr>
    </w:p>
    <w:p w14:paraId="2221B340" w14:textId="26208B0D" w:rsidR="00AB1D40" w:rsidRPr="00511760" w:rsidRDefault="005408E0" w:rsidP="00511760">
      <w:pPr>
        <w:spacing w:line="480" w:lineRule="auto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944EF01" wp14:editId="4BEBA5AD">
                <wp:simplePos x="0" y="0"/>
                <wp:positionH relativeFrom="margin">
                  <wp:align>right</wp:align>
                </wp:positionH>
                <wp:positionV relativeFrom="margin">
                  <wp:posOffset>7224395</wp:posOffset>
                </wp:positionV>
                <wp:extent cx="4165600" cy="1882775"/>
                <wp:effectExtent l="0" t="0" r="6350" b="3175"/>
                <wp:wrapTight wrapText="bothSides">
                  <wp:wrapPolygon edited="0">
                    <wp:start x="0" y="0"/>
                    <wp:lineTo x="0" y="21418"/>
                    <wp:lineTo x="21534" y="21418"/>
                    <wp:lineTo x="2153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C2DF" w14:textId="1CE65CE1" w:rsidR="00B25BB0" w:rsidRDefault="00B25BB0">
                            <w:r w:rsidRPr="00B25BB0">
                              <w:t xml:space="preserve">Please note that this form can only be used for GP surgeries within the Frimley Integrated Care System. For more information go to </w:t>
                            </w:r>
                            <w:hyperlink r:id="rId9" w:history="1">
                              <w:r w:rsidRPr="00B25BB0">
                                <w:rPr>
                                  <w:rStyle w:val="Hyperlink"/>
                                </w:rPr>
                                <w:t>https://www.frimleyhealthandcare.org.uk/about/frimley-health-and-care-communities-map/</w:t>
                              </w:r>
                            </w:hyperlink>
                            <w:r w:rsidRPr="00B25BB0">
                              <w:t xml:space="preserve"> </w:t>
                            </w:r>
                          </w:p>
                          <w:p w14:paraId="4C85ED8B" w14:textId="48F6C41D" w:rsidR="005408E0" w:rsidRDefault="005408E0"/>
                          <w:p w14:paraId="3DCE657A" w14:textId="3C5511CC" w:rsidR="005408E0" w:rsidRPr="00B25BB0" w:rsidRDefault="005408E0">
                            <w:r>
                              <w:t>The eligibility for the learning disability register and annual health checks is national. Anyone registered to a GP practice outside of Frimley ICS may still wish to discuss with their practice.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4EF0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6.8pt;margin-top:568.85pt;width:328pt;height:148.2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" stroked="f">
                <v:textbox>
                  <w:txbxContent>
                    <w:p w14:paraId="481AC2DF" w14:textId="1CE65CE1" w:rsidR="00B25BB0" w:rsidRDefault="00B25BB0">
                      <w:r w:rsidRPr="00B25BB0">
                        <w:t xml:space="preserve">Please note that this form can only be used for GP surgeries within the Frimley Integrated Care System. For more information go to </w:t>
                      </w:r>
                      <w:hyperlink r:id="rId12" w:history="1">
                        <w:r w:rsidRPr="00B25BB0">
                          <w:rPr>
                            <w:rStyle w:val="Hyperlink"/>
                          </w:rPr>
                          <w:t>https://www.frimleyhealthandcare.org.uk/about/frimley-health-and-care-communities-map/</w:t>
                        </w:r>
                      </w:hyperlink>
                      <w:r w:rsidRPr="00B25BB0">
                        <w:t xml:space="preserve"> </w:t>
                      </w:r>
                    </w:p>
                    <w:p w14:paraId="4C85ED8B" w14:textId="48F6C41D" w:rsidR="005408E0" w:rsidRDefault="005408E0"/>
                    <w:p w14:paraId="3DCE657A" w14:textId="3C5511CC" w:rsidR="005408E0" w:rsidRPr="00B25BB0" w:rsidRDefault="005408E0">
                      <w:r>
                        <w:t xml:space="preserve">The eligibility for the learning disability register and annual health checks is national. Anyone registered to a GP practice outside of Frimley ICS may still wish to discuss with </w:t>
                      </w:r>
                      <w:r>
                        <w:t>their</w:t>
                      </w:r>
                      <w:bookmarkStart w:id="6" w:name="_GoBack"/>
                      <w:bookmarkEnd w:id="6"/>
                      <w:r>
                        <w:t xml:space="preserve"> practice.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B25BB0" w:rsidRPr="00B25BB0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4B512DF5" wp14:editId="063F613B">
            <wp:simplePos x="0" y="0"/>
            <wp:positionH relativeFrom="column">
              <wp:posOffset>-660400</wp:posOffset>
            </wp:positionH>
            <wp:positionV relativeFrom="margin">
              <wp:posOffset>7174865</wp:posOffset>
            </wp:positionV>
            <wp:extent cx="212090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341" y="21440"/>
                <wp:lineTo x="21341" y="0"/>
                <wp:lineTo x="0" y="0"/>
              </wp:wrapPolygon>
            </wp:wrapTight>
            <wp:docPr id="3" name="Picture 3" descr="https://www.frimleyhealthandcare.org.uk/media/2815/frimley-ics-map-places-and-upper-tier-councils.png?width=674&amp;height=684&amp;mode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imleyhealthandcare.org.uk/media/2815/frimley-ics-map-places-and-upper-tier-councils.png?width=674&amp;height=684&amp;mode=ma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D40" w:rsidRPr="00511760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  <w:r w:rsidR="0051176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1D40" w:rsidRPr="00511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44C4"/>
    <w:multiLevelType w:val="hybridMultilevel"/>
    <w:tmpl w:val="91864A0C"/>
    <w:lvl w:ilvl="0" w:tplc="36B2A0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E3"/>
    <w:rsid w:val="0005772D"/>
    <w:rsid w:val="00145515"/>
    <w:rsid w:val="002237FD"/>
    <w:rsid w:val="002E1DAE"/>
    <w:rsid w:val="004B518F"/>
    <w:rsid w:val="00511760"/>
    <w:rsid w:val="00521412"/>
    <w:rsid w:val="005408E0"/>
    <w:rsid w:val="00600028"/>
    <w:rsid w:val="0063473E"/>
    <w:rsid w:val="00775240"/>
    <w:rsid w:val="007A46CD"/>
    <w:rsid w:val="007E10E7"/>
    <w:rsid w:val="008152D2"/>
    <w:rsid w:val="00871200"/>
    <w:rsid w:val="00895655"/>
    <w:rsid w:val="008B3BCE"/>
    <w:rsid w:val="00A03B52"/>
    <w:rsid w:val="00AB1D40"/>
    <w:rsid w:val="00AE7EE3"/>
    <w:rsid w:val="00AF6531"/>
    <w:rsid w:val="00B25BB0"/>
    <w:rsid w:val="00B95243"/>
    <w:rsid w:val="00BA48F7"/>
    <w:rsid w:val="00C8500E"/>
    <w:rsid w:val="00D23E14"/>
    <w:rsid w:val="00D62E1E"/>
    <w:rsid w:val="00E27F20"/>
    <w:rsid w:val="00E6479D"/>
    <w:rsid w:val="00F342B2"/>
    <w:rsid w:val="00F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8610"/>
  <w15:chartTrackingRefBased/>
  <w15:docId w15:val="{55F3D393-759A-4AF6-8F6A-FB7D99CB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B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frimleyhealthandcare.org.uk/about/frimley-health-and-care-communities-m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rimleyhealthandcare.org.uk/about/frimley-health-and-care-communities-ma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9869-90FF-4261-8659-E11D94C9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CATNACH, Philippa (NHS FRIMLEY ICB - D4U1Y)</dc:creator>
  <cp:keywords/>
  <dc:description/>
  <cp:lastModifiedBy>BREEZE, James (NHS FRIMLEY ICB - D4U1Y)</cp:lastModifiedBy>
  <cp:revision>2</cp:revision>
  <dcterms:created xsi:type="dcterms:W3CDTF">2023-10-30T21:05:00Z</dcterms:created>
  <dcterms:modified xsi:type="dcterms:W3CDTF">2023-10-30T21:05:00Z</dcterms:modified>
</cp:coreProperties>
</file>